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AB50D">
      <w:pPr>
        <w:jc w:val="center"/>
        <w:rPr>
          <w:rFonts w:hint="eastAsia" w:ascii="宋体" w:hAnsi="宋体" w:eastAsia="宋体" w:cs="宋体"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40"/>
          <w:szCs w:val="40"/>
        </w:rPr>
        <w:t>化学实验室设备配置清单及技术参数</w:t>
      </w:r>
    </w:p>
    <w:bookmarkEnd w:id="0"/>
    <w:tbl>
      <w:tblPr>
        <w:tblStyle w:val="5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964"/>
        <w:gridCol w:w="6674"/>
        <w:gridCol w:w="672"/>
        <w:gridCol w:w="672"/>
      </w:tblGrid>
      <w:tr w14:paraId="668FF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2" w:type="pct"/>
            <w:shd w:val="clear" w:color="auto" w:fill="auto"/>
            <w:vAlign w:val="center"/>
          </w:tcPr>
          <w:p w14:paraId="3A7008D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1904C4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3899986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参数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68769F7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0456721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14:paraId="77FE4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2" w:type="pct"/>
            <w:shd w:val="clear" w:color="auto" w:fill="auto"/>
            <w:vAlign w:val="center"/>
          </w:tcPr>
          <w:p w14:paraId="032BA0C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E35D73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教师演示台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04B8B018">
            <w:pPr>
              <w:widowControl/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规格：2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±3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×700mm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±3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×850mm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±3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  <w:p w14:paraId="1EB95BED">
            <w:pPr>
              <w:widowControl/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2.产品结构：铝木框架结构，一体化台面。演示台靠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一侧为水盆(台面下安装)及三联水嘴，设有柜门，中间为演示台面，台面下抽屉内装教师电源并设有交流插座。右侧设置单开门存储柜，可放置视频展台等物品，用时拉出，用后推入演示台内关好，使用</w:t>
            </w:r>
          </w:p>
          <w:p w14:paraId="6E3438D0">
            <w:pPr>
              <w:widowControl/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3.主要材料：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①台面材料：采用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实芯理化板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。台面颜色：墨绿色。板材厚度≥l2.7mm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±0.2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，边缘加厚至25.4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±0.3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mm。台上左右和后三面安装50mm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±1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高的挡水板；台正面长边镂銧成圆弧形，打磨抛光。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②柜体框架：实验台专用铝合金型材。组装接缝严密，连接牢固，无松动现象。结构部件表面经环氧树脂喷涂处理，整体耐腐蚀、防火、防潮、稳固耐用。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③柜体板材：采用符合国家标准的El级环保型16mm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±1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三聚氰胺双贴面刨花板，断面用1.2mm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±0.2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厚PVC封边做防水处理。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④柜体脚垫：直径≥10mm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±0.2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的不锈钢螺杆与工程塑料一次注塑成型的脚垫，耐磨、防潮、耐腐蚀，高度可调，可锁紧。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⑤连接扣件：ABS专用铝合金连接件，ABS板式家具专用连接件。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⑥柜门铰链：采用优质标准家具式铰链，壁厚1.5mm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±0.2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，防腐、承重耐用。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⑦采用优质消声三节滑轨，型号：ZM-4518C，材质：冷轧钢，颜色：白色，产品宽度：45mm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±2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，承重：45KG/18厚度;1.2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mm±0.1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×1.2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mm±0.1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×1.5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mm±0.1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，类型：缓冲 阻尼 液压轨道，规格：10-24寸，功能作用：在尾部设计了反弹器、起到缓冲反弹自锁作用、轻轻推动抽屉自动弹开。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⑧封边：板材外露截面采用1.2mm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±0.1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厚优质PVC条、热熔方式封边。</w:t>
            </w:r>
          </w:p>
          <w:p w14:paraId="3EB710BE">
            <w:pPr>
              <w:widowControl/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工艺要求：铝型材表面经酸洗、磷化、环氧树脂喷涂，高温固化处理；耐腐蚀、耐酸碱。生产过程采用机器下料、钻孔、封边等工艺加工，专业人员安装。台体外形美观、结构牢固，经久耐用。台面：采用国内12.7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±0.2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厚实芯（双面）理化板台面，台面边缘用同质材料板双层加厚至25.4mm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±0.2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，由专业生产厂家用CNC机械加工而成。为了确保使用者的健康安全，产品需通过国家建筑材料测试中心或国家化学建筑材料测试中心、国家化学建材质量监督检验中心及SGS等知名检测机构检测，各项性能需满足或优于如下要求：A、通过硫酸（98%）、硝酸（65%）、氢氧化钠（40%）、四氯化碳、松节油、乙腈等不少于122项酸、碱及其它化学试剂的检验结果为无明显变化。</w:t>
            </w:r>
          </w:p>
          <w:p w14:paraId="164EEA81">
            <w:pPr>
              <w:widowControl/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B、通过国家化学建筑材料测试中心等机构检测依据GB/T17657-2013等标准及方法检验进行不少于19项物理性能检测，检测结果为：含水率：≤1.0；表面耐冷热循环性能（80℃）：无裂纹、鼓泡、变色、起皱；漆膜硬度≥8H；漆膜附着力：切割边缘完全平滑，无脱落；表面耐干热性能、表面耐湿热性能、表面耐香烟灼烧性能、耐沸水性能等均为5级无变化；吸水性≤0.1%；表面耐磨性能检验结果不低于568r；耐高温性：表面无裂痕；弯曲强度≥120MPa，抗冲击性能：压痕直径6.0MM表面无破损、耐光色牢度≥4级；表面耐磨性能（磨耗值）≤46mg/100r；表面耐龟裂性：5级，用6倍放大镜观察表面无裂纹、尺寸稳定性横向、纵向均不大于0.55%、密度达到1.4g/cm3以上.</w:t>
            </w:r>
          </w:p>
          <w:p w14:paraId="177E0EDF">
            <w:pPr>
              <w:widowControl/>
              <w:numPr>
                <w:ilvl w:val="0"/>
                <w:numId w:val="0"/>
              </w:numPr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C、参照GB/T 2408-2021《塑料燃烧性能的测定 水平法种垂直法》和依据GB 8624-2012《建筑材料及制品燃烧性能分级》作为检测和判定依据进行检测，结果达B1级，烟气毒性项目符合t1级要求；水平燃烧符合HB级，垂直燃烧符合V-0级。</w:t>
            </w:r>
          </w:p>
          <w:p w14:paraId="73783483"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D、依据HJ571-2010（环境标志产品技术要求 人造板及其制品）检测，总挥发性有机化合物TVOC（72h）释放量为未检出（≤0.02mg/m2*h）。</w:t>
            </w:r>
          </w:p>
          <w:p w14:paraId="3A847E78"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E、依据GB6566-2010方法进行放射性测试，内、外照射检测值均≤0.1。依据GB/T24128-2018及JC/T 2039-2010等方法检测防霉性能：包含但不局限于：黑曲霉、土曲霉、球毛壳霉、宛氏拟青霉、绳状青霉、出芽短梗霉、长枝木霉等不少于7种的霉菌检测。</w:t>
            </w:r>
          </w:p>
          <w:p w14:paraId="4D14A37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F、依据ISO 22196:2011及JC/T 2039-2010等方法检测抗菌性能：包含但不局限于：大肠杆菌、金黄色葡萄球菌、肺炎克雷伯氏菌、鼠伤寒沙门氏菌、表皮葡萄球菌、铜绿假单胞菌、宋氏志贺氏菌、白色葡萄球菌、粪肠球菌；枯草芽孢杆菌、变异库克菌、甲型溶血性链球菌、白色念珠菌、肠沙门氏菌肠亚种等不少于14种菌种检测，结果符合抗菌要求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化学实验桌性能及质量标准有国家标准、教育标准，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人应针对以上台面技术参数要求，提供符合参数的检测报告原件或复印件，以备查验）。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7D53CFB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562CAAB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6DE2A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2" w:type="pct"/>
            <w:shd w:val="clear" w:color="auto" w:fill="auto"/>
            <w:vAlign w:val="center"/>
          </w:tcPr>
          <w:p w14:paraId="5091965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AAD776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学生实验台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25A62C2F"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规格：2800mm×600mm×760mm</w:t>
            </w:r>
          </w:p>
          <w:p w14:paraId="596FA153"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产品结构和功能：铝木框架结构，一体化台面，每两个学生之间设有实验光源，每张台中间为水封式水盆及三联高压水嘴，设置活动检修门，便于维护。台面下设置桌斗，在每个实验台的左右桌斗中间位置，各安装一套二位万用6孔电插座，其电源线隐蔽在实验台内部。</w:t>
            </w:r>
          </w:p>
          <w:p w14:paraId="0829D756">
            <w:pPr>
              <w:widowControl/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3.主要材料：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同教师演示台</w:t>
            </w:r>
          </w:p>
          <w:p w14:paraId="47E230EB"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4.工艺要求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同教师演示台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1D31EE8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1F9EB94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</w:tr>
      <w:tr w14:paraId="1B4AE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2" w:type="pct"/>
            <w:shd w:val="clear" w:color="auto" w:fill="auto"/>
            <w:vAlign w:val="center"/>
          </w:tcPr>
          <w:p w14:paraId="08B3C2F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389936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教师椅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51F47A2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低背、带扶手，座高43cm-40cm可调；一体成形高弹高密聚氨脂泡棉，用模具发泡而成，造型、尺寸稳定。黑色PU饰面，五脚气动升降，带万向轮。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71DC067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27D1937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2C447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2" w:type="pct"/>
            <w:shd w:val="clear" w:color="auto" w:fill="auto"/>
            <w:vAlign w:val="center"/>
          </w:tcPr>
          <w:p w14:paraId="2153AC4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B03FA8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学生凳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6989248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ABS凳面，三脚钢凳，焊接牢固，不可升降，经久耐用。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3A6F381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796F138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</w:tr>
      <w:tr w14:paraId="75A46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2" w:type="pct"/>
            <w:shd w:val="clear" w:color="auto" w:fill="auto"/>
            <w:vAlign w:val="center"/>
          </w:tcPr>
          <w:p w14:paraId="15820EA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A6E159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台式单口紧急洗眼器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414EE74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1、台面安装方式，平时放置于台面，紧急使用时可随意抽起，使用方便。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2、洗眼喷头：具有过滤泡棉及防尘功能，上面防尘盖平常可防尘，使用时可随时被水冲开，并降低突然打开时短暂的高水压，避免冲伤眼睛。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3、控水阀采用黄铜制作，经高亮度环氧树脂涂层处理，外观美观大方，阀门可自动关闭，密封可靠。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4F657C68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副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71C652D4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 w14:paraId="14EFD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2" w:type="pct"/>
            <w:shd w:val="clear" w:color="auto" w:fill="auto"/>
            <w:vAlign w:val="center"/>
          </w:tcPr>
          <w:p w14:paraId="330BAC5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6BE47E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实验水盆（水封式）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5C8F996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规格：410×310洗涤盆：PP水封式，可防止废水产生气体返回，便于过滤颗粒状物体和防止堵塞。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42947FA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484EECF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</w:tr>
      <w:tr w14:paraId="5466C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2" w:type="pct"/>
            <w:shd w:val="clear" w:color="auto" w:fill="auto"/>
            <w:vAlign w:val="center"/>
          </w:tcPr>
          <w:p w14:paraId="10E5041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4C650D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三联水嘴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118792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规格：高压、鹅颈,三联水嘴：材料为铜质覆塑，陶瓷芯、快开式水嘴，鹅颈、高压利于冲刷试管，使用无水锈。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3721325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35EAD04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</w:tr>
      <w:tr w14:paraId="29048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2" w:type="pct"/>
            <w:shd w:val="clear" w:color="auto" w:fill="auto"/>
            <w:vAlign w:val="center"/>
          </w:tcPr>
          <w:p w14:paraId="793215B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5A9A69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教师电源控制台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04DFB5D2"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抽屉式安全电源，功能要求：</w:t>
            </w:r>
          </w:p>
          <w:p w14:paraId="647ED08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①提供两个二位万用6孔电插座，有0-250V交流电压表头以显示输入的220V交流电压数值；四个空气开关，每路20A组成，分4路控制学生桌的供电；有漏电保护器，动作电流不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大于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mA；具备限压、漏电及过载保护功能。②氖灯显示，总电源开关及四个空气开关供电指示，指示灯亮表示交流220V给学生桌，指示灯灭说明该路保险丝有问题或空气开关有问题。③电源性能应符合《IY0374.200z》中的相关要求。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3371031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035C602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68458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2" w:type="pct"/>
            <w:shd w:val="clear" w:color="auto" w:fill="auto"/>
            <w:vAlign w:val="center"/>
          </w:tcPr>
          <w:p w14:paraId="2394226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C39524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学生台交直流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电源盒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02B4479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交流220V到桌,安装二位万用6孔供电插座,并装有防水防尘保护罩.学生电源被教师控制及锁定后,不能被操作。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55186DD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5089E55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</w:tr>
      <w:tr w14:paraId="37623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2" w:type="pct"/>
            <w:shd w:val="clear" w:color="auto" w:fill="auto"/>
            <w:vAlign w:val="center"/>
          </w:tcPr>
          <w:p w14:paraId="7B31E53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7B3CB6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实验室交直流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供电系统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0C6D338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教师、学生220V交流电，均由教师主控。采用国标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2.5mm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铜芯线。不包含配电箱的制作及安装。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41158AF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间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318A10C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283BD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2" w:type="pct"/>
            <w:shd w:val="clear" w:color="auto" w:fill="auto"/>
            <w:vAlign w:val="center"/>
          </w:tcPr>
          <w:p w14:paraId="259D666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B6AE0D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实验室排水系统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7DC7EFF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排水管选用加厚φ50mmPVC塑料管为主要材料，给、排水管采用专用PVC胶联接，均安装在地下，给、排水顺畅，不易堵塞，便于维护。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废水排放前先进入业主二级污水处理池进行中和处理，然后再排放。符合国家GB3838-88V类水质标准规定值。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4F1F931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间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7D2930B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68490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2" w:type="pct"/>
            <w:shd w:val="clear" w:color="auto" w:fill="auto"/>
            <w:vAlign w:val="center"/>
          </w:tcPr>
          <w:p w14:paraId="20FC033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244A12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实验室供水系统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388F4FE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在指定处设有给水控制器对全室供水系统进行控制。给水管选用φ25mm高级PPC-U管。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21D78B52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间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214073C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15F19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2" w:type="pct"/>
            <w:shd w:val="clear" w:color="auto" w:fill="auto"/>
            <w:vAlign w:val="center"/>
          </w:tcPr>
          <w:p w14:paraId="69848A7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9728FE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设备安装调试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49CCC98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实验室设备整体安装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65528680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间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47232DA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4A73C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2" w:type="pct"/>
            <w:shd w:val="clear" w:color="auto" w:fill="auto"/>
            <w:vAlign w:val="center"/>
          </w:tcPr>
          <w:p w14:paraId="4319FB0A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615B8EE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垃圾外运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5AF3B7C5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原旧两实验室拆除，清理场地，垃圾外运。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50CDEDF4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项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0F7D7911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</w:tbl>
    <w:p w14:paraId="56A38ECE">
      <w:pPr>
        <w:rPr>
          <w:rFonts w:ascii="华文中宋" w:hAnsi="华文中宋" w:eastAsia="华文中宋"/>
          <w:sz w:val="24"/>
        </w:rPr>
      </w:pPr>
    </w:p>
    <w:p w14:paraId="50CECBF1">
      <w:pPr>
        <w:rPr>
          <w:rFonts w:hint="eastAsia" w:ascii="华文中宋" w:hAnsi="华文中宋" w:eastAsia="华文中宋"/>
          <w:sz w:val="24"/>
          <w:lang w:val="en-US" w:eastAsia="zh-CN"/>
        </w:rPr>
      </w:pPr>
      <w:r>
        <w:rPr>
          <w:rFonts w:hint="eastAsia" w:ascii="华文中宋" w:hAnsi="华文中宋" w:eastAsia="华文中宋"/>
          <w:sz w:val="24"/>
          <w:lang w:val="en-US" w:eastAsia="zh-CN"/>
        </w:rPr>
        <w:t>产品样图</w:t>
      </w:r>
    </w:p>
    <w:p w14:paraId="633C0118">
      <w:pPr>
        <w:numPr>
          <w:ilvl w:val="0"/>
          <w:numId w:val="0"/>
        </w:numPr>
        <w:rPr>
          <w:rFonts w:hint="eastAsia" w:ascii="华文中宋" w:hAnsi="华文中宋" w:eastAsia="华文中宋"/>
          <w:sz w:val="24"/>
          <w:lang w:val="en-US" w:eastAsia="zh-CN"/>
        </w:rPr>
      </w:pPr>
      <w:r>
        <w:rPr>
          <w:rFonts w:hint="eastAsia" w:ascii="华文中宋" w:hAnsi="华文中宋" w:eastAsia="华文中宋"/>
          <w:sz w:val="24"/>
          <w:lang w:val="en-US" w:eastAsia="zh-CN"/>
        </w:rPr>
        <w:t>1.教师演示台</w:t>
      </w:r>
    </w:p>
    <w:p w14:paraId="60BC270F">
      <w:pPr>
        <w:numPr>
          <w:ilvl w:val="0"/>
          <w:numId w:val="0"/>
        </w:numPr>
        <w:rPr>
          <w:rFonts w:hint="eastAsia" w:ascii="华文中宋" w:hAnsi="华文中宋" w:eastAsia="华文中宋"/>
          <w:sz w:val="24"/>
          <w:lang w:val="en-US" w:eastAsia="zh-CN"/>
        </w:rPr>
      </w:pPr>
      <w:r>
        <w:drawing>
          <wp:inline distT="0" distB="0" distL="114300" distR="114300">
            <wp:extent cx="1500505" cy="1892300"/>
            <wp:effectExtent l="0" t="0" r="4445" b="1270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2688D">
      <w:pPr>
        <w:numPr>
          <w:ilvl w:val="0"/>
          <w:numId w:val="0"/>
        </w:numPr>
        <w:ind w:leftChars="0"/>
        <w:rPr>
          <w:rFonts w:hint="eastAsia" w:ascii="华文中宋" w:hAnsi="华文中宋" w:eastAsia="华文中宋"/>
          <w:sz w:val="24"/>
          <w:lang w:val="en-US" w:eastAsia="zh-CN"/>
        </w:rPr>
      </w:pPr>
      <w:r>
        <w:rPr>
          <w:rFonts w:hint="eastAsia" w:ascii="华文中宋" w:hAnsi="华文中宋" w:eastAsia="华文中宋"/>
          <w:sz w:val="24"/>
          <w:lang w:val="en-US" w:eastAsia="zh-CN"/>
        </w:rPr>
        <w:t>2.学生实验台</w:t>
      </w:r>
    </w:p>
    <w:p w14:paraId="168A4722">
      <w:pPr>
        <w:numPr>
          <w:ilvl w:val="0"/>
          <w:numId w:val="0"/>
        </w:numPr>
        <w:ind w:leftChars="0"/>
        <w:rPr>
          <w:rFonts w:hint="eastAsia" w:ascii="华文中宋" w:hAnsi="华文中宋" w:eastAsia="华文中宋"/>
          <w:sz w:val="24"/>
          <w:lang w:val="en-US" w:eastAsia="zh-CN"/>
        </w:rPr>
      </w:pPr>
      <w:r>
        <w:drawing>
          <wp:inline distT="0" distB="0" distL="114300" distR="114300">
            <wp:extent cx="1392555" cy="1863090"/>
            <wp:effectExtent l="0" t="0" r="17145" b="381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2555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E3EF0">
      <w:pPr>
        <w:rPr>
          <w:rFonts w:hint="eastAsia" w:ascii="华文中宋" w:hAnsi="华文中宋" w:eastAsia="华文中宋"/>
          <w:sz w:val="24"/>
          <w:lang w:val="en-US" w:eastAsia="zh-CN"/>
        </w:rPr>
      </w:pPr>
      <w:r>
        <w:rPr>
          <w:rFonts w:hint="eastAsia" w:ascii="华文中宋" w:hAnsi="华文中宋" w:eastAsia="华文中宋"/>
          <w:sz w:val="24"/>
          <w:lang w:val="en-US" w:eastAsia="zh-CN"/>
        </w:rPr>
        <w:t>3.教师椅</w:t>
      </w:r>
    </w:p>
    <w:p w14:paraId="462E0332">
      <w:pPr>
        <w:rPr>
          <w:rFonts w:hint="eastAsia" w:ascii="华文中宋" w:hAnsi="华文中宋" w:eastAsia="华文中宋"/>
          <w:sz w:val="24"/>
          <w:lang w:val="en-US" w:eastAsia="zh-CN"/>
        </w:rPr>
      </w:pPr>
      <w:r>
        <w:drawing>
          <wp:inline distT="0" distB="0" distL="114300" distR="114300">
            <wp:extent cx="1557655" cy="1941195"/>
            <wp:effectExtent l="0" t="0" r="4445" b="190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7655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2F732">
      <w:pPr>
        <w:rPr>
          <w:rFonts w:hint="eastAsia" w:ascii="华文中宋" w:hAnsi="华文中宋" w:eastAsia="华文中宋"/>
          <w:sz w:val="24"/>
          <w:lang w:val="en-US" w:eastAsia="zh-CN"/>
        </w:rPr>
      </w:pPr>
      <w:r>
        <w:rPr>
          <w:rFonts w:hint="eastAsia" w:ascii="华文中宋" w:hAnsi="华文中宋" w:eastAsia="华文中宋"/>
          <w:sz w:val="24"/>
          <w:lang w:val="en-US" w:eastAsia="zh-CN"/>
        </w:rPr>
        <w:t>4.学生凳</w:t>
      </w:r>
    </w:p>
    <w:p w14:paraId="7A514697">
      <w:pPr>
        <w:rPr>
          <w:rFonts w:hint="eastAsia" w:ascii="华文中宋" w:hAnsi="华文中宋" w:eastAsia="华文中宋"/>
          <w:sz w:val="24"/>
          <w:lang w:val="en-US" w:eastAsia="zh-CN"/>
        </w:rPr>
      </w:pPr>
      <w:r>
        <w:drawing>
          <wp:inline distT="0" distB="0" distL="114300" distR="114300">
            <wp:extent cx="1557655" cy="1941195"/>
            <wp:effectExtent l="0" t="0" r="4445" b="190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7655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488C6">
      <w:pPr>
        <w:numPr>
          <w:ilvl w:val="0"/>
          <w:numId w:val="0"/>
        </w:numPr>
        <w:rPr>
          <w:rFonts w:hint="eastAsia" w:ascii="华文中宋" w:hAnsi="华文中宋" w:eastAsia="华文中宋"/>
          <w:sz w:val="24"/>
          <w:lang w:val="en-US" w:eastAsia="zh-CN"/>
        </w:rPr>
      </w:pPr>
      <w:r>
        <w:rPr>
          <w:rFonts w:ascii="宋体" w:hAnsi="宋体" w:eastAsia="宋体" w:cs="宋体"/>
          <w:color w:val="000000"/>
          <w:kern w:val="0"/>
          <w:sz w:val="22"/>
          <w:szCs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621665</wp:posOffset>
            </wp:positionV>
            <wp:extent cx="653415" cy="1489710"/>
            <wp:effectExtent l="0" t="0" r="13335" b="15240"/>
            <wp:wrapTopAndBottom/>
            <wp:docPr id="12" name="图片_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_42"/>
                    <pic:cNvPicPr>
                      <a:picLocks noChangeAspect="1"/>
                    </pic:cNvPicPr>
                  </pic:nvPicPr>
                  <pic:blipFill>
                    <a:blip r:embed="rId8" r:link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" cy="1489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中宋" w:hAnsi="华文中宋" w:eastAsia="华文中宋"/>
          <w:sz w:val="24"/>
          <w:lang w:val="en-US" w:eastAsia="zh-CN"/>
        </w:rPr>
        <w:t>5.台式单口紧急洗眼器</w:t>
      </w:r>
    </w:p>
    <w:p w14:paraId="1C9C3169">
      <w:pPr>
        <w:rPr>
          <w:rFonts w:hint="eastAsia" w:ascii="华文中宋" w:hAnsi="华文中宋" w:eastAsia="华文中宋"/>
          <w:sz w:val="24"/>
          <w:lang w:val="en-US" w:eastAsia="zh-CN"/>
        </w:rPr>
      </w:pPr>
      <w:r>
        <w:rPr>
          <w:rFonts w:hint="eastAsia" w:ascii="华文中宋" w:hAnsi="华文中宋" w:eastAsia="华文中宋"/>
          <w:sz w:val="24"/>
          <w:lang w:val="en-US" w:eastAsia="zh-CN"/>
        </w:rPr>
        <w:t>6.实验水盆（水封式）</w:t>
      </w:r>
    </w:p>
    <w:p w14:paraId="06ECC118">
      <w:pPr>
        <w:rPr>
          <w:rFonts w:hint="eastAsia" w:ascii="华文中宋" w:hAnsi="华文中宋" w:eastAsia="华文中宋"/>
          <w:sz w:val="24"/>
          <w:lang w:val="en-US" w:eastAsia="zh-CN"/>
        </w:rPr>
      </w:pPr>
      <w:r>
        <w:rPr>
          <w:rFonts w:ascii="宋体" w:hAnsi="宋体" w:eastAsia="宋体" w:cs="宋体"/>
          <w:color w:val="000000"/>
          <w:kern w:val="0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57150</wp:posOffset>
            </wp:positionV>
            <wp:extent cx="777240" cy="590550"/>
            <wp:effectExtent l="0" t="0" r="3810" b="0"/>
            <wp:wrapTopAndBottom/>
            <wp:docPr id="15" name="ID_A3892B32E25C4B7390A2AEC01C8BC4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D_A3892B32E25C4B7390A2AEC01C8BC4BE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7.</w:t>
      </w:r>
      <w:r>
        <w:rPr>
          <w:rFonts w:hint="eastAsia" w:ascii="华文中宋" w:hAnsi="华文中宋" w:eastAsia="华文中宋"/>
          <w:sz w:val="24"/>
          <w:lang w:val="en-US" w:eastAsia="zh-CN"/>
        </w:rPr>
        <w:t>三联水嘴</w:t>
      </w:r>
    </w:p>
    <w:p w14:paraId="04A0C178">
      <w:pPr>
        <w:rPr>
          <w:rFonts w:hint="eastAsia" w:ascii="华文中宋" w:hAnsi="华文中宋" w:eastAsia="华文中宋"/>
          <w:sz w:val="24"/>
          <w:lang w:val="en-US" w:eastAsia="zh-CN"/>
        </w:rPr>
      </w:pPr>
      <w:r>
        <w:rPr>
          <w:rFonts w:ascii="宋体" w:hAnsi="宋体" w:eastAsia="宋体" w:cs="宋体"/>
          <w:color w:val="000000"/>
          <w:kern w:val="0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111760</wp:posOffset>
            </wp:positionV>
            <wp:extent cx="494030" cy="735330"/>
            <wp:effectExtent l="0" t="0" r="1270" b="7620"/>
            <wp:wrapTopAndBottom/>
            <wp:docPr id="16" name="ID_1C3E486B08454629B01E539FAD9844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D_1C3E486B08454629B01E539FAD9844E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l="14645" t="9378" r="23360" b="12125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735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8.</w:t>
      </w:r>
      <w:r>
        <w:rPr>
          <w:rFonts w:hint="eastAsia" w:ascii="华文中宋" w:hAnsi="华文中宋" w:eastAsia="华文中宋"/>
          <w:sz w:val="24"/>
          <w:lang w:val="en-US" w:eastAsia="zh-CN"/>
        </w:rPr>
        <w:t>教师电源控制台</w:t>
      </w:r>
    </w:p>
    <w:p w14:paraId="64B6E6B2">
      <w:pPr>
        <w:rPr>
          <w:rFonts w:hint="eastAsia" w:ascii="华文中宋" w:hAnsi="华文中宋" w:eastAsia="华文中宋"/>
          <w:sz w:val="24"/>
          <w:lang w:val="en-US" w:eastAsia="zh-CN"/>
        </w:rPr>
      </w:pPr>
      <w:r>
        <w:rPr>
          <w:rFonts w:ascii="宋体" w:hAnsi="宋体" w:eastAsia="宋体" w:cs="宋体"/>
          <w:color w:val="000000"/>
          <w:kern w:val="0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39370</wp:posOffset>
            </wp:positionV>
            <wp:extent cx="1111250" cy="664210"/>
            <wp:effectExtent l="0" t="0" r="12700" b="2540"/>
            <wp:wrapTopAndBottom/>
            <wp:docPr id="19" name="图片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_2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9.</w:t>
      </w:r>
      <w:r>
        <w:rPr>
          <w:rFonts w:hint="eastAsia" w:ascii="华文中宋" w:hAnsi="华文中宋" w:eastAsia="华文中宋"/>
          <w:sz w:val="24"/>
          <w:lang w:val="en-US" w:eastAsia="zh-CN"/>
        </w:rPr>
        <w:t>学生台交直流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电源盒</w:t>
      </w:r>
      <w:r>
        <w:rPr>
          <w:rFonts w:hint="eastAsia" w:ascii="华文中宋" w:hAnsi="华文中宋" w:eastAsia="华文中宋"/>
          <w:sz w:val="24"/>
          <w:lang w:val="en-US" w:eastAsia="zh-CN"/>
        </w:rPr>
        <w:t>电源盒</w:t>
      </w:r>
    </w:p>
    <w:p w14:paraId="5B429C71">
      <w:pPr>
        <w:rPr>
          <w:rFonts w:hint="eastAsia" w:ascii="华文中宋" w:hAnsi="华文中宋" w:eastAsia="华文中宋"/>
          <w:sz w:val="24"/>
          <w:lang w:val="en-US" w:eastAsia="zh-CN"/>
        </w:rPr>
      </w:pPr>
      <w:r>
        <w:rPr>
          <w:rFonts w:ascii="宋体" w:hAnsi="宋体" w:eastAsia="宋体" w:cs="宋体"/>
          <w:color w:val="000000"/>
          <w:kern w:val="0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85090</wp:posOffset>
            </wp:positionV>
            <wp:extent cx="848360" cy="612775"/>
            <wp:effectExtent l="0" t="0" r="8890" b="15875"/>
            <wp:wrapTopAndBottom/>
            <wp:docPr id="17" name="图片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_22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10.</w:t>
      </w:r>
      <w:r>
        <w:rPr>
          <w:rFonts w:hint="eastAsia" w:ascii="华文中宋" w:hAnsi="华文中宋" w:eastAsia="华文中宋"/>
          <w:sz w:val="24"/>
          <w:lang w:val="en-US" w:eastAsia="zh-CN"/>
        </w:rPr>
        <w:t>实验室交直流供电系统</w:t>
      </w:r>
    </w:p>
    <w:p w14:paraId="7975EC15">
      <w:pPr>
        <w:rPr>
          <w:rFonts w:hint="eastAsia" w:ascii="华文中宋" w:hAnsi="华文中宋" w:eastAsia="华文中宋"/>
          <w:sz w:val="24"/>
          <w:lang w:val="en-US" w:eastAsia="zh-CN"/>
        </w:rPr>
      </w:pPr>
    </w:p>
    <w:p w14:paraId="4EEF421D">
      <w:pPr>
        <w:rPr>
          <w:rFonts w:hint="eastAsia" w:ascii="华文中宋" w:hAnsi="华文中宋" w:eastAsia="华文中宋"/>
          <w:sz w:val="24"/>
          <w:lang w:val="en-US" w:eastAsia="zh-CN"/>
        </w:rPr>
      </w:pPr>
      <w:r>
        <w:rPr>
          <w:rFonts w:ascii="宋体" w:hAnsi="宋体" w:eastAsia="宋体" w:cs="宋体"/>
          <w:color w:val="000000"/>
          <w:kern w:val="0"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-197485</wp:posOffset>
            </wp:positionH>
            <wp:positionV relativeFrom="paragraph">
              <wp:posOffset>100965</wp:posOffset>
            </wp:positionV>
            <wp:extent cx="1005840" cy="708660"/>
            <wp:effectExtent l="0" t="0" r="3810" b="15240"/>
            <wp:wrapTopAndBottom/>
            <wp:docPr id="21" name="图片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_11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C0BEB4F">
      <w:pPr>
        <w:numPr>
          <w:ilvl w:val="0"/>
          <w:numId w:val="0"/>
        </w:numPr>
        <w:rPr>
          <w:rFonts w:hint="eastAsia" w:ascii="华文中宋" w:hAnsi="华文中宋" w:eastAsia="华文中宋"/>
          <w:sz w:val="24"/>
          <w:lang w:val="en-US" w:eastAsia="zh-CN"/>
        </w:rPr>
      </w:pPr>
      <w:r>
        <w:rPr>
          <w:rFonts w:ascii="宋体" w:hAnsi="宋体" w:eastAsia="宋体" w:cs="宋体"/>
          <w:color w:val="000000"/>
          <w:kern w:val="0"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761365</wp:posOffset>
            </wp:positionV>
            <wp:extent cx="902970" cy="673100"/>
            <wp:effectExtent l="0" t="0" r="11430" b="12700"/>
            <wp:wrapTopAndBottom/>
            <wp:docPr id="22" name="ID_FD3BB5A94F3D4B30BAC29789833258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D_FD3BB5A94F3D4B30BAC29789833258E3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中宋" w:hAnsi="华文中宋" w:eastAsia="华文中宋"/>
          <w:sz w:val="24"/>
          <w:lang w:val="en-US" w:eastAsia="zh-CN"/>
        </w:rPr>
        <w:t>11.实验室排水系统</w:t>
      </w:r>
    </w:p>
    <w:p w14:paraId="62311A6D">
      <w:pPr>
        <w:rPr>
          <w:rFonts w:hint="default" w:ascii="华文中宋" w:hAnsi="华文中宋" w:eastAsia="华文中宋"/>
          <w:sz w:val="24"/>
          <w:lang w:val="en-US" w:eastAsia="zh-CN"/>
        </w:rPr>
      </w:pPr>
      <w:r>
        <w:rPr>
          <w:rFonts w:hint="eastAsia" w:ascii="华文中宋" w:hAnsi="华文中宋" w:eastAsia="华文中宋"/>
          <w:sz w:val="24"/>
          <w:lang w:val="en-US" w:eastAsia="zh-CN"/>
        </w:rPr>
        <w:t>12.实验室供水系统</w:t>
      </w:r>
    </w:p>
    <w:p w14:paraId="16C27262">
      <w:pPr>
        <w:rPr>
          <w:rFonts w:ascii="华文中宋" w:hAnsi="华文中宋" w:eastAsia="华文中宋"/>
          <w:sz w:val="24"/>
        </w:rPr>
      </w:pPr>
      <w:r>
        <w:rPr>
          <w:rFonts w:ascii="宋体" w:hAnsi="宋体" w:eastAsia="宋体" w:cs="宋体"/>
          <w:color w:val="000000"/>
          <w:kern w:val="0"/>
          <w:sz w:val="22"/>
          <w:szCs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125730</wp:posOffset>
            </wp:positionV>
            <wp:extent cx="861060" cy="735330"/>
            <wp:effectExtent l="0" t="0" r="15240" b="7620"/>
            <wp:wrapTopAndBottom/>
            <wp:docPr id="23" name="ID_12CDAEED49484BFC9B7489CD5A37A7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D_12CDAEED49484BFC9B7489CD5A37A7B8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735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58D7755">
      <w:pPr>
        <w:rPr>
          <w:rFonts w:ascii="华文中宋" w:hAnsi="华文中宋" w:eastAsia="华文中宋"/>
          <w:sz w:val="24"/>
        </w:rPr>
      </w:pPr>
    </w:p>
    <w:p w14:paraId="74032561">
      <w:pPr>
        <w:rPr>
          <w:rFonts w:ascii="华文中宋" w:hAnsi="华文中宋" w:eastAsia="华文中宋"/>
          <w:sz w:val="24"/>
        </w:rPr>
      </w:pPr>
    </w:p>
    <w:p w14:paraId="1409F146">
      <w:pPr>
        <w:rPr>
          <w:rFonts w:ascii="华文中宋" w:hAnsi="华文中宋" w:eastAsia="华文中宋"/>
          <w:sz w:val="24"/>
        </w:rPr>
        <w:sectPr>
          <w:footerReference r:id="rId3" w:type="default"/>
          <w:pgSz w:w="11906" w:h="16838"/>
          <w:pgMar w:top="1440" w:right="1191" w:bottom="1157" w:left="1304" w:header="851" w:footer="992" w:gutter="0"/>
          <w:cols w:space="0" w:num="1"/>
          <w:docGrid w:type="linesAndChars" w:linePitch="314" w:charSpace="0"/>
        </w:sectPr>
      </w:pPr>
    </w:p>
    <w:p w14:paraId="753649B5">
      <w:pPr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三、产品效果图</w:t>
      </w:r>
    </w:p>
    <w:p w14:paraId="28E60B79">
      <w:pPr>
        <w:widowControl/>
        <w:jc w:val="left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479425</wp:posOffset>
            </wp:positionV>
            <wp:extent cx="5772785" cy="4263390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933" cy="426324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191" w:bottom="1157" w:left="1304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0FEFAD02-3FB6-4EF5-91B2-169A9D78332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E05A345C-FE0C-4797-9DFB-FC5A013175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28E9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07F91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07F91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86D0169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SalmC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6D0169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7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B749D"/>
    <w:rsid w:val="000D74BF"/>
    <w:rsid w:val="00147FBA"/>
    <w:rsid w:val="00285ED0"/>
    <w:rsid w:val="00295DE2"/>
    <w:rsid w:val="003721C4"/>
    <w:rsid w:val="003F24BF"/>
    <w:rsid w:val="004C5BC3"/>
    <w:rsid w:val="004E5EAE"/>
    <w:rsid w:val="0050708D"/>
    <w:rsid w:val="00561488"/>
    <w:rsid w:val="00562E98"/>
    <w:rsid w:val="006D4659"/>
    <w:rsid w:val="007A18F9"/>
    <w:rsid w:val="00952E4D"/>
    <w:rsid w:val="0095507F"/>
    <w:rsid w:val="009937E8"/>
    <w:rsid w:val="00A2619E"/>
    <w:rsid w:val="00A624D5"/>
    <w:rsid w:val="00A66830"/>
    <w:rsid w:val="00A8312B"/>
    <w:rsid w:val="00B1380A"/>
    <w:rsid w:val="00B86725"/>
    <w:rsid w:val="00BD2D42"/>
    <w:rsid w:val="00C03CC1"/>
    <w:rsid w:val="00C2038A"/>
    <w:rsid w:val="00E4672C"/>
    <w:rsid w:val="00E80FDE"/>
    <w:rsid w:val="00EF4BBD"/>
    <w:rsid w:val="00F64959"/>
    <w:rsid w:val="00FD4FE0"/>
    <w:rsid w:val="063C1A1F"/>
    <w:rsid w:val="09806F24"/>
    <w:rsid w:val="09AB2883"/>
    <w:rsid w:val="0BC639A4"/>
    <w:rsid w:val="117417AC"/>
    <w:rsid w:val="138C2C9D"/>
    <w:rsid w:val="183A43E2"/>
    <w:rsid w:val="189A7199"/>
    <w:rsid w:val="18BB749D"/>
    <w:rsid w:val="1C2D1948"/>
    <w:rsid w:val="1DA21C1D"/>
    <w:rsid w:val="23A935CE"/>
    <w:rsid w:val="27893DAB"/>
    <w:rsid w:val="2B1A4D1A"/>
    <w:rsid w:val="2E02460C"/>
    <w:rsid w:val="33602A67"/>
    <w:rsid w:val="392A68EA"/>
    <w:rsid w:val="395B12CD"/>
    <w:rsid w:val="3BC136BC"/>
    <w:rsid w:val="408271A4"/>
    <w:rsid w:val="46DC45F3"/>
    <w:rsid w:val="49117C21"/>
    <w:rsid w:val="4C312170"/>
    <w:rsid w:val="4E3D4CE7"/>
    <w:rsid w:val="50DC251C"/>
    <w:rsid w:val="608C39E9"/>
    <w:rsid w:val="62AC7433"/>
    <w:rsid w:val="662A17C1"/>
    <w:rsid w:val="675E7762"/>
    <w:rsid w:val="6FF40897"/>
    <w:rsid w:val="76D032D7"/>
    <w:rsid w:val="789B3E19"/>
    <w:rsid w:val="78FA3670"/>
    <w:rsid w:val="7AA03EC1"/>
    <w:rsid w:val="7C09050E"/>
    <w:rsid w:val="7D37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file:///C:\Users\ADMINI~1\AppData\Local\Temp\msohtmlclip1\01\clip_image001.png" TargetMode="Externa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2862</Words>
  <Characters>3347</Characters>
  <Lines>9</Lines>
  <Paragraphs>10</Paragraphs>
  <TotalTime>885</TotalTime>
  <ScaleCrop>false</ScaleCrop>
  <LinksUpToDate>false</LinksUpToDate>
  <CharactersWithSpaces>3357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2026-03-21T09:22:00Z</dcterms:created>
  <dc:creator>皖西经校</dc:creator>
  <cp:lastModifiedBy>皖西经校</cp:lastModifiedBy>
  <cp:lastPrinted>2026-03-21T09:21:00Z</cp:lastPrinted>
  <dcterms:modified xsi:type="dcterms:W3CDTF">2026-03-23T03:12:03Z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B764D38B9FF843118D939BF8D2E448F0_13</vt:lpwstr>
  </property>
  <property fmtid="{D5CDD505-2E9C-101B-9397-08002B2CF9AE}" pid="4" name="KSOTemplateDocerSaveRecord">
    <vt:lpwstr>eyJoZGlkIjoiNjg0OWFiN2QwOGI0OWViMmQwYjlkYTYxODFlNzgxMjAiLCJ1c2VySWQiOiIyNjkwODY2MjIifQ==</vt:lpwstr>
  </property>
</Properties>
</file>